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41</w:t>
      </w:r>
    </w:p>
    <w:p>
      <w:r>
        <w:t>Bundesgericht (BGE), 1984-11-12, DE</w:t>
      </w:r>
    </w:p>
    <w:p>
      <w:r>
        <w:rPr>
          <w:b/>
        </w:rPr>
        <w:t xml:space="preserve">Quelle: </w:t>
      </w:r>
      <w:r>
        <w:t>https://mcp.opencaselaw.ch/entscheid/bge_111 IV 41</w:t>
      </w:r>
    </w:p>
    <w:p>
      <w:r>
        <w:t>FR: ATF 111 IV 41</w:t>
      </w:r>
    </w:p>
    <w:p>
      <w:r>
        <w:t>IT: DTF 111 IV 41</w:t>
      </w:r>
    </w:p>
    <w:p>
      <w:pPr>
        <w:pStyle w:val="Heading2"/>
      </w:pPr>
      <w:r>
        <w:t>Regeste</w:t>
      </w:r>
    </w:p>
    <w:p>
      <w:r>
        <w:t>Regeste Art. 47 Abs. 3 VStrR; kostspieliger Unterhalt. 1. Unter den Begriff des "Unterhalts" fallen auch allfällige Aufbewahrungs- und Lagerkosten. 2. Ob ein Unterhalt "kostspielig" im Sinne des Gesetzes ist, bestimmt sich nach dem Verhältnis des Wertes der beschlagnahmten Waren zu den Unterhaltskosten, wobei der voraussichtlichen Dauer dieses Aufwandes Rechnung zu tragen ist. 3. In casu war es zulässig, vom Warenwert im Zeitpunkt der Beschlagnahme auszugehen.</w:t>
      </w:r>
    </w:p>
    <w:p>
      <w:pPr>
        <w:pStyle w:val="Heading2"/>
      </w:pPr>
      <w:r>
        <w:t>Erwägungen</w:t>
      </w:r>
    </w:p>
    <w:p>
      <w:r>
        <w:rPr>
          <w:b/>
        </w:rPr>
        <w:t>E. 3</w:t>
      </w:r>
    </w:p>
    <w:p>
      <w:r>
        <w:t>Nach Art. 47 Abs. 3 VStrR können beschlagnahmte Gegenstände, die schneller Wertverminderung ausgesetzt sind oder einen kostspieligen Unterhalt erfordern, öffentlich versteigert und in dringenden Fällen freihändig verkauft werden. a) Die Beschwerdeführerin bestreitet, dass die beschlagnahmten Waren schneller Wertverminderung ausgesetzt seien. Die Rüge ist gegenstandslos. Das BAWI hat die Verwertung der beschlagnahmten Gegenstände nicht aus diesem Grunde, sondern einzig wegen des kostspieligen Unterhalts angeordnet. Auf die Beschwerde ist deshalb insoweit nicht einzutreten. b) Art. 47 Abs. 3 VStrR erwähnt als alternative Voraussetzung einer Verwertung des beschlagnahmten Gegenstandes den kostspieligen Unterhalt, ohne - wie das in Art. 93 Abs. 1 OR geschehen ist - die Aufbewahrungskosten besonders zu nennen. Indessen wird man diese hier zwanglos in den Begriff des kostspieligen Unterhalts einbeziehen können, gehört doch zu diesem im weiteren BGE 111 IV 41 S. 43 Sinn auch der für die Aufbewahrung nötige Aufwand (vgl. auch BGE 101 III 31 hinsichtlich Art. 124 Abs. 2 SchKG ). Das wird von der Beschwerdeführerin selber nicht in Abrede gestellt. Die Frage aber, ob im konkreten Fall ein Unterhalt im Sinne des Gesetzes kostspielig sei, bestimmt sich nach dem Verhältnis des Werts der beschlagnahmten Ware zu den Unterhaltskosten, wobei der voraussichtlichen Dauer dieses Aufwandes Rechnung zu tragen ist. Unbestritten ist, dass die Lagerkosten im vorliegenden Fall gegenwärtig rund Fr. 65'000.-- betragen und dass diese Summe monatlich um Fr. 3650.-- ansteigt. Der Wert der beschlagnahmten Waren wurde vom BAWI gestützt auf die Handelsfakturen der Firma Y. an die Beschwerdeführerin und unter Zugrundelegung eines Tageskurses von Fr. 2,1760/US-Dollar im Zeitpunkt der Beschlagnahme (8. September 1983) auf Fr. 251'741.45 berechnet. Von diesem Betrag kann hier ausgegangen werden, denn dass der innere Wert der fraglichen Waren sich inzwischen verändert hätte, ist nicht nachgewiesen, und auch die Beschlagnahme ist nur verhältnismässig kurze Zeit nach der Erwirkung der schweizerischen Ursprungszeugnisse erfolgt. In der Beschwerde wird denn auch nichts Überzeugendes vorgetragen, das die Annahme eines anderen Stichtages als geboten erscheinen liesse. Es wäre im übrigen mit einem erheblichen Aufwand verbunden, in jedem derartigen Fall die Veränderung der Produktionskosten etc. bei der Berechnung des Warenwertes mitzuberücksichtigen. Immerhin hat das BAWI glaubhaft dargetan, dass der seinerzeit in US-Dollars ausgedrückte Preis auf der Grundlage der koreanischen Produktionskosten fakturiert wurde, die in viel geringerem Masse gestiegen sind als der US-Dollar. Die Beschwerdeführerin will von einem Umrechnungskurs von Fr. 2,785/US-Dollar ausgehen, was einen Betrag von Fr. 322'196.65 ergäbe. Ob man nun dem vom BAWI angenommenen Warenwert von ca. Fr. 250'000.-- oder dem von der Beschwerdeführerin errechneten von ca. Fr. 320'000.-- die bereits aufgelaufenen Lagerkosten von rund Fr. 65'000.-- gegenüberstellt, so spricht in beiden Fällen der Vergleich der Zahlen für die Annahme eines kostspieligen Unterhalts im Sinne des Gesetzes, und es kann nicht gesagt werden, die Verwaltung habe das ihr hierbei zustehende Ermessen überschritten. Das trifft umsoweniger zu, als die Lagerkosten monatlich um weitere Fr. 3650.-- ansteigen werden und im gegenwärtigen Zeitpunkt ein Abschluss des Verfahrens noch nicht abzusehen ist, da dieses eine ganze Reihe weiterer Fälle BGE 111 IV 41 S. 44 umfasst, in welchen keine Waren beschlagnahmt werden konnten, und die Verwaltung zur Ermittlung des nach Art. 58 Abs. 4 StGB abzuschöpfenden Vermögensvorteils auf zeitraubende Erhebungen bei ausländischen Amtsstellen angewiesen ist. Soweit die Firma X. aber mit dem Hinweis auf die lange Dauer der Untersuchung als Ursache der hohen Lagerkosten sinngemäss den Vorwurf einer ungebührlichen Verzögerung des Verfahrens verbinden wollte, wäre ihr entgegenzuhalten, dass hierfür nichts Stichhaltiges vorliegt und dass sie es längst in der Hand gehabt hätte, gegen Leistung einer Sicherheit von Fr. 150'000.-- die beschlagnahmten Waren freizubekommen. Sie hat dieses Angebot der Verwaltung jedoch ausgeschlagen. Geht man vom Gesagten aus, ist jedenfalls eine der alternativen Voraussetzungen des Art. 47 Abs. 3 VStrR gegeben und steht deshalb der öffentlichen Versteigerung bzw. dem freihändigen Verkauf der beschlagnahmten Waren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